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E9C" w:rsidRPr="00523213" w:rsidRDefault="00924B68" w:rsidP="0052321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523213">
        <w:rPr>
          <w:rFonts w:ascii="Times New Roman" w:hAnsi="Times New Roman"/>
          <w:b/>
          <w:sz w:val="20"/>
          <w:szCs w:val="20"/>
        </w:rPr>
        <w:t>P</w:t>
      </w:r>
      <w:r w:rsidR="00C50E9C" w:rsidRPr="00523213">
        <w:rPr>
          <w:rFonts w:ascii="Times New Roman" w:hAnsi="Times New Roman"/>
          <w:b/>
          <w:sz w:val="20"/>
          <w:szCs w:val="20"/>
        </w:rPr>
        <w:t>ořádací schéma korporac</w:t>
      </w:r>
      <w:r w:rsidR="00385E67" w:rsidRPr="00523213">
        <w:rPr>
          <w:rFonts w:ascii="Times New Roman" w:hAnsi="Times New Roman"/>
          <w:b/>
          <w:sz w:val="20"/>
          <w:szCs w:val="20"/>
        </w:rPr>
        <w:t>e</w:t>
      </w:r>
      <w:r w:rsidR="00C50E9C" w:rsidRPr="00523213">
        <w:rPr>
          <w:rFonts w:ascii="Times New Roman" w:hAnsi="Times New Roman"/>
          <w:b/>
          <w:sz w:val="20"/>
          <w:szCs w:val="20"/>
        </w:rPr>
        <w:t xml:space="preserve">, pro niž dosud </w:t>
      </w:r>
      <w:r w:rsidR="00385E67" w:rsidRPr="00523213">
        <w:rPr>
          <w:rFonts w:ascii="Times New Roman" w:hAnsi="Times New Roman"/>
          <w:b/>
          <w:sz w:val="20"/>
          <w:szCs w:val="20"/>
        </w:rPr>
        <w:t xml:space="preserve">nebyl </w:t>
      </w:r>
      <w:r w:rsidR="00C50E9C" w:rsidRPr="00523213">
        <w:rPr>
          <w:rFonts w:ascii="Times New Roman" w:hAnsi="Times New Roman"/>
          <w:b/>
          <w:sz w:val="20"/>
          <w:szCs w:val="20"/>
        </w:rPr>
        <w:t>vydán metodický pokyn podle Základních pravidel pro zpracování archiválií z roku 2015</w:t>
      </w:r>
      <w:r w:rsidR="007601EB" w:rsidRPr="00523213">
        <w:rPr>
          <w:rFonts w:ascii="Times New Roman" w:hAnsi="Times New Roman"/>
          <w:b/>
          <w:sz w:val="20"/>
          <w:szCs w:val="20"/>
        </w:rPr>
        <w:t xml:space="preserve"> a u ní</w:t>
      </w:r>
      <w:r w:rsidR="00327198" w:rsidRPr="00523213">
        <w:rPr>
          <w:rFonts w:ascii="Times New Roman" w:hAnsi="Times New Roman"/>
          <w:b/>
          <w:sz w:val="20"/>
          <w:szCs w:val="20"/>
        </w:rPr>
        <w:t>ž</w:t>
      </w:r>
      <w:r w:rsidR="007601EB" w:rsidRPr="00523213">
        <w:rPr>
          <w:rFonts w:ascii="Times New Roman" w:hAnsi="Times New Roman"/>
          <w:b/>
          <w:sz w:val="20"/>
          <w:szCs w:val="20"/>
        </w:rPr>
        <w:t xml:space="preserve"> </w:t>
      </w:r>
      <w:r w:rsidR="00327198" w:rsidRPr="00523213">
        <w:rPr>
          <w:rFonts w:ascii="Times New Roman" w:hAnsi="Times New Roman"/>
          <w:b/>
          <w:sz w:val="20"/>
          <w:szCs w:val="20"/>
        </w:rPr>
        <w:t xml:space="preserve">nelze </w:t>
      </w:r>
      <w:r w:rsidR="007601EB" w:rsidRPr="00523213">
        <w:rPr>
          <w:rFonts w:ascii="Times New Roman" w:hAnsi="Times New Roman"/>
          <w:b/>
          <w:sz w:val="20"/>
          <w:szCs w:val="20"/>
        </w:rPr>
        <w:t>v plné míře uplatnit spisový plán původce. V</w:t>
      </w:r>
      <w:r w:rsidR="00C52F2C" w:rsidRPr="00523213">
        <w:rPr>
          <w:rFonts w:ascii="Times New Roman" w:hAnsi="Times New Roman"/>
          <w:b/>
          <w:sz w:val="20"/>
          <w:szCs w:val="20"/>
        </w:rPr>
        <w:t xml:space="preserve">erze </w:t>
      </w:r>
      <w:r w:rsidR="00622A2F" w:rsidRPr="00523213">
        <w:rPr>
          <w:rFonts w:ascii="Times New Roman" w:hAnsi="Times New Roman"/>
          <w:b/>
          <w:sz w:val="20"/>
          <w:szCs w:val="20"/>
        </w:rPr>
        <w:t>23</w:t>
      </w:r>
      <w:r w:rsidR="00D336F3" w:rsidRPr="00523213">
        <w:rPr>
          <w:rFonts w:ascii="Times New Roman" w:hAnsi="Times New Roman"/>
          <w:b/>
          <w:sz w:val="20"/>
          <w:szCs w:val="20"/>
        </w:rPr>
        <w:t xml:space="preserve">. </w:t>
      </w:r>
      <w:r w:rsidR="00622A2F" w:rsidRPr="00523213">
        <w:rPr>
          <w:rFonts w:ascii="Times New Roman" w:hAnsi="Times New Roman"/>
          <w:b/>
          <w:sz w:val="20"/>
          <w:szCs w:val="20"/>
        </w:rPr>
        <w:t>6</w:t>
      </w:r>
      <w:r w:rsidR="00D336F3" w:rsidRPr="00523213">
        <w:rPr>
          <w:rFonts w:ascii="Times New Roman" w:hAnsi="Times New Roman"/>
          <w:b/>
          <w:sz w:val="20"/>
          <w:szCs w:val="20"/>
        </w:rPr>
        <w:t>. 2017</w:t>
      </w:r>
      <w:r w:rsidR="007601EB" w:rsidRPr="00523213">
        <w:rPr>
          <w:rFonts w:ascii="Times New Roman" w:hAnsi="Times New Roman"/>
          <w:b/>
          <w:sz w:val="20"/>
          <w:szCs w:val="20"/>
        </w:rPr>
        <w:t>.</w:t>
      </w:r>
    </w:p>
    <w:p w:rsidR="005D6301" w:rsidRPr="00523213" w:rsidRDefault="005D6301" w:rsidP="005232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22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91"/>
        <w:gridCol w:w="2891"/>
        <w:gridCol w:w="2891"/>
        <w:gridCol w:w="3628"/>
        <w:gridCol w:w="8731"/>
      </w:tblGrid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3213">
              <w:rPr>
                <w:rFonts w:ascii="Times New Roman" w:hAnsi="Times New Roman"/>
                <w:b/>
                <w:sz w:val="20"/>
                <w:szCs w:val="20"/>
              </w:rPr>
              <w:t>Úroveň popisu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3213">
              <w:rPr>
                <w:rFonts w:ascii="Times New Roman" w:hAnsi="Times New Roman"/>
                <w:b/>
                <w:bCs/>
                <w:sz w:val="20"/>
                <w:szCs w:val="20"/>
              </w:rPr>
              <w:t>Prvek Obsah, regest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3213">
              <w:rPr>
                <w:rFonts w:ascii="Times New Roman" w:hAnsi="Times New Roman"/>
                <w:b/>
                <w:bCs/>
                <w:sz w:val="20"/>
                <w:szCs w:val="20"/>
              </w:rPr>
              <w:t>Prvek Obsah, regest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3213">
              <w:rPr>
                <w:rFonts w:ascii="Times New Roman" w:hAnsi="Times New Roman"/>
                <w:b/>
                <w:bCs/>
                <w:sz w:val="20"/>
                <w:szCs w:val="20"/>
              </w:rPr>
              <w:t>Prvek Obsah, regest</w:t>
            </w: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3213">
              <w:rPr>
                <w:rFonts w:ascii="Times New Roman" w:hAnsi="Times New Roman"/>
                <w:b/>
                <w:bCs/>
                <w:sz w:val="20"/>
                <w:szCs w:val="20"/>
              </w:rPr>
              <w:t>Prvek Obsah, regest</w:t>
            </w: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3213">
              <w:rPr>
                <w:rFonts w:ascii="Times New Roman" w:hAnsi="Times New Roman"/>
                <w:b/>
                <w:bCs/>
                <w:sz w:val="20"/>
                <w:szCs w:val="20"/>
              </w:rPr>
              <w:t>Nápověda (budoucí)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Vznik korporace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Organizační záležitosti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Podněty ke vzniku a jeho příprava, zápisy z ustavujících jednání, dokumenty k procesu odštěpení od jiné korporace, dokumenty k procesu registrace, zřizovací listiny.</w:t>
            </w:r>
          </w:p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je dle úvahy zpracovatele vzhledem k rozsahu či jinému kritériu ze složek vhodné vytvořit série, je nutné totéž udělat pro všechny složky v dané sérii tak, aby nenastala situace, kdy složky (nebo jednotlivost) je na stejné úrovni jako série.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Správa korporace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Registraturní pomůcky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lze zařadit k této agendě, ale ne ke konkrétní podřízené jednotce popisu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Organizační záležitosti a řízení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Jednání orgánů a složek korporace</w:t>
            </w: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Ustavení orgánů korporace, pozvánky, zápisy z jednání, přílohy, prezenční listiny</w:t>
            </w: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je dle úvahy zpracovatele vzhledem k rozsahu či jinému kritériu ze složek vhodné vytvořit série, je nutné totéž udělat pro všechny složky v dané sérii tak, aby nenastala situace, kdy složky (nebo jednotlivost) je na stejné úrovni jako série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Vnitřní organizační korespondence</w:t>
            </w: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nelze zařadit ke konkrétní agendě.</w:t>
            </w:r>
          </w:p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je dle úvahy zpracovatele vzhledem k rozsahu či jinému kritériu ze složek vhodné vytvořit série, je nutné totéž udělat pro všechny složky v dané sérii tak, aby nenastala situace, kdy složky (nebo jednotlivost) je na stejné úrovni jako série.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Interní normy, interní akty řízení</w:t>
            </w: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Interní směrnice, řády, normy, metodiky</w:t>
            </w: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Vč. organizace jejich tvorby.</w:t>
            </w:r>
          </w:p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tvoří ucelenou řadu a je nelze přiřadit ke konkrétní agendě.</w:t>
            </w:r>
          </w:p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je dle úvahy zpracovatele vzhledem k rozsahu či jinému kritériu ze složek vhodné vytvořit série, je nutné totéž udělat pro všechny složky v dané sérii tak, aby nenastala situace, kdy složky (nebo jednotlivost) je na stejné úrovni jako série.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Příkazy vedení, oběžníky s instrukcemi</w:t>
            </w: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tvoří ucelenou řadu a je nelze přiřadit ke konkrétní agendě.</w:t>
            </w:r>
          </w:p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je dle úvahy zpracovatele vzhledem k rozsahu či jinému kritériu ze složek vhodné vytvořit série, je nutné totéž udělat pro všechny složky v dané sérii tak, aby nenastala situace, kdy složky (nebo jednotlivost) je na stejné úrovni jako série.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Normy jiných korporací</w:t>
            </w: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budou ponechány s ohledem na bezprostřední vztah ke konkrétní korporaci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Vnitřní struktura a organizační změny</w:t>
            </w: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Organizační záležitosti a jednotlivé případy</w:t>
            </w: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Organizace vnitřní struktury, příprava a provádění organizačních změn, změny registrace.</w:t>
            </w:r>
          </w:p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je dle úvahy zpracovatele vzhledem k rozsahu či jinému kritériu ze složek vhodné vytvořit série, je nutné totéž udělat pro všechny složky v dané sérii tak, aby nenastala situace, kdy složky (nebo jednotlivost) je na stejné úrovni jako série.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Plánování činnosti</w:t>
            </w: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 xml:space="preserve">Plány činnosti </w:t>
            </w: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Vč. jejich přípravy.</w:t>
            </w:r>
          </w:p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je dle úvahy zpracovatele vzhledem k rozsahu či jinému kritériu ze složek vhodné vytvořit série, je nutné totéž udělat pro všechny složky v dané sérii tak, aby nenastala situace, kdy složky (nebo jednotlivost) je na stejné úrovni jako série.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Výkazy činnosti</w:t>
            </w: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nelze zařadit ke konkrétní agendě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Výkazy činnosti</w:t>
            </w: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Dílčí i dlouhodobé výkazy činnosti, výroční zprávy.</w:t>
            </w:r>
          </w:p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je dle úvahy zpracovatele vzhledem k rozsahu či jinému kritériu ze složek vhodné vytvořit série, je nutné totéž udělat pro všechny složky v dané sérii tak, aby nenastala situace, kdy složky (nebo jednotlivost) je na stejné úrovni jako série.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Členství v jiných korporacích</w:t>
            </w: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Organizační záležitosti a jednotlivé případy</w:t>
            </w: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Podněty k členství, příprava a realizace, podíl na činnosti, zastoupení v korporaci, ukončení členství</w:t>
            </w:r>
          </w:p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je dle úvahy zpracovatele vzhledem k rozsahu či jinému kritériu ze složek vhodné vytvořit série, je nutné totéž udělat pro všechny složky v dané sérii tak, aby nenastala situace, kdy složky (nebo jednotlivost) je na stejné úrovni jako série.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Vnější styky a spolupráce, spoluúčast na akcích a projektech</w:t>
            </w: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nelze zařadit ke konkrétní agendě v rámci působnosti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Organizační záležitosti a jednotlivé případy</w:t>
            </w: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Navázání a ukončení spolupráce, příprava a realizace akcí a projektů, organizace public relations</w:t>
            </w:r>
          </w:p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je dle úvahy zpracovatele vzhledem k rozsahu či jinému kritériu ze složek vhodné vytvořit série, je nutné totéž udělat pro všechny složky v dané sérii tak, aby nenastala situace, kdy složky (nebo jednotlivost) je na stejné úrovni jako série.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Najímání služeb</w:t>
            </w: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Organizační záležitosti a jednotlivé případy</w:t>
            </w: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je dle úvahy zpracovatele vzhledem k rozsahu či jinému kritériu ze složek vhodné vytvořit série, je nutné totéž udělat pro všechny složky v dané sérii tak, aby nenastala situace, kdy složky (nebo jednotlivost) je na stejné úrovni jako série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Kontroly</w:t>
            </w: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Organizační záležitosti a jednotlivé případy</w:t>
            </w: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Plány a výkazy kontrol, kontroly prováděné u korporace jinými subjekty, kontroly prováděné u jiných subjektů, vnitřní kontroly</w:t>
            </w:r>
          </w:p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je dle úvahy zpracovatele vzhledem k rozsahu či jinému kritériu ze složek vhodné vytvořit série, je nutné totéž udělat pro všechny složky v dané sérii tak, aby nenastala situace, kdy složky (nebo jednotlivost) je na stejné úrovni jako série.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Spory, soudní záležitosti, stížnosti</w:t>
            </w: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Jednotlivé případy</w:t>
            </w: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je dle úvahy zpracovatele vzhledem k rozsahu či jinému kritériu ze složek vhodné vytvořit série, je nutné totéž udělat pro všechny složky v dané sérii tak, aby nenastala situace, kdy složky (nebo jednotlivost) je na stejné úrovni jako série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Spisová služba a archivnictví</w:t>
            </w: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Organizační záležitosti a jednotlivé případy</w:t>
            </w: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Péče o dokumenty korporace, zprávy o stavu, ztráty a zničení, předávání do archivu.</w:t>
            </w:r>
          </w:p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je dle úvahy zpracovatele vzhledem k rozsahu či jinému kritériu ze složek vhodné vytvořit série, je nutné totéž udělat pro všechny složky v dané sérii tak, aby nenastala situace, kdy složky (nebo jednotlivost) je na stejné úrovni jako série.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Dokumentace činnosti a prezentace korporace</w:t>
            </w: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Organizační záležitosti a jednotlivé případy</w:t>
            </w: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je dle úvahy zpracovatele vzhledem k rozsahu či jinému kritériu ze složek vhodné vytvořit série, je nutné totéž udělat pro všechny složky v dané sérii tak, aby nenastala situace, kdy složky (nebo jednotlivost) je na stejné úrovni jako série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Pamětní knihy, kroniky vč. příloh a podkladů</w:t>
            </w: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Řazeno chronologicky.</w:t>
            </w:r>
          </w:p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je dle úvahy zpracovatele vzhledem k rozsahu či jinému kritériu ze složek vhodné vytvořit série, je nutné totéž udělat pro všechny složky v dané sérii tak, aby nenastala situace, kdy složky (nebo jednotlivost) je na stejné úrovni jako série.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Přílohy a podklady pamětních knih</w:t>
            </w: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nelze přiřadit ke konkrétnímu ročníku či svazku.</w:t>
            </w:r>
          </w:p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je dle úvahy zpracovatele vzhledem k rozsahu či jinému kritériu ze složek vhodné vytvořit série, je nutné totéž udělat pro všechny složky v dané sérii tak, aby nenastala situace, kdy složky (nebo jednotlivost) je na stejné úrovni jako série.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Tisky vydávané korporací</w:t>
            </w: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Pamětní tisky, almanachy, ročenky, bulletiny, zpravodaje, časopisy.</w:t>
            </w:r>
          </w:p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je dle úvahy zpracovatele vzhledem k rozsahu či jinému kritériu ze složek vhodné vytvořit série, je nutné totéž udělat pro všechny složky v dané sérii tak, aby nenastala situace, kdy složky (nebo jednotlivost) je na stejné úrovni jako série.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Styky s jinými korporacemi a osobnostmi</w:t>
            </w: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je dle úvahy zpracovatele vzhledem k rozsahu či jinému kritériu ze složek vhodné vytvořit série, je nutné totéž udělat pro všechny složky v dané sérii tak, aby nenastala situace, kdy složky (nebo jednotlivost) je na stejné úrovni jako série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Fotografická a filmová dokumentace</w:t>
            </w: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není součástí spisů.</w:t>
            </w:r>
          </w:p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je dle úvahy zpracovatele vzhledem k rozsahu či jinému kritériu ze složek vhodné vytvořit série, je nutné totéž udělat pro všechny složky v dané sérii tak, aby nenastala situace, kdy složky (nebo jednotlivost) je na stejné úrovni jako série.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Propagační materiály a předměty a ostatní dokumentace</w:t>
            </w: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není součástí spisů.</w:t>
            </w:r>
          </w:p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je dle úvahy zpracovatele vzhledem k rozsahu či jinému kritériu ze složek vhodné vytvořit série, je nutné totéž udělat pro všechny složky v dané sérii tak, aby nenastala situace, kdy složky (nebo jednotlivost) je na stejné úrovni jako série.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Personální záležitosti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Funkcionáři, zaměstnanci, členové</w:t>
            </w: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Organizační záležitosti a jednotlivé případy</w:t>
            </w: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je dle úvahy zpracovatele vzhledem k rozsahu či jinému kritériu ze složek vhodné vytvořit série, je nutné totéž udělat pro všechny složky v dané sérii tak, aby nenastala situace, kdy složky (nebo jednotlivost) je na stejné úrovni jako série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Správa majetku a hospodaření korporace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Registraturní pomůcky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lze zařadit k této agendě, ale ne ke konkrétní podřízené jednotce popisu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Správa a ochrana majetku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Organizační záležitosti a jednotlivé případy</w:t>
            </w: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Organizace správy a ochrany majetku, pojištění, zabezpečení, ostraha, havárie.</w:t>
            </w:r>
          </w:p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je dle úvahy zpracovatele vzhledem k rozsahu či jinému kritériu ze složek vhodné vytvořit série, je nutné totéž udělat pro všechny složky v dané sérii tak, aby nenastala situace, kdy složky (nebo jednotlivost) je na stejné úrovni jako série.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Účetní materiál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Ústřední fond</w:t>
            </w: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Peněžní účtování</w:t>
            </w: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lze zařadit k této agendě, ale ne ke konkrétní podřízené jednotce popisu.</w:t>
            </w:r>
          </w:p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je dle úvahy zpracovatele vzhledem k rozsahu či jinému kritériu ze složek vhodné vytvořit série, je nutné totéž udělat pro všechny složky v dané sérii tak, aby nenastala situace, kdy složky (nebo jednotlivost) je na stejné úrovni jako série.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Materiální účetnictví</w:t>
            </w: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lze zařadit k této agendě, ale ne ke konkrétní podřízené jednotce popisu.</w:t>
            </w:r>
          </w:p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je dle úvahy zpracovatele vzhledem k rozsahu či jinému kritériu ze složek vhodné vytvořit série, je nutné totéž udělat pro všechny složky v dané sérii tak, aby nenastala situace, kdy složky (nebo jednotlivost) je na stejné úrovni jako série.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Vedlejší fondy (účty) a organizační složky</w:t>
            </w: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nelze zařadit do série Organizační složky korporace.</w:t>
            </w:r>
          </w:p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je dle úvahy zpracovatele vzhledem k rozsahu či jinému kritériu ze složek vhodné vytvořit série, je nutné totéž udělat pro všechny složky v dané sérii tak, aby nenastala situace, kdy složky (nebo jednotlivost) je na stejné úrovni jako série.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Účetní materiály průběžných účinů</w:t>
            </w: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je dle úvahy zpracovatele vzhledem k rozsahu či jinému kritériu ze složek vhodné vytvořit série, je nutné totéž udělat pro všechny složky v dané sérii tak, aby nenastala situace, kdy složky (nebo jednotlivost) je na stejné úrovni jako série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Fondy</w:t>
            </w: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Více fondů zaznamenávaných do jedné společné knihy</w:t>
            </w: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Daňové záležitosti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nenáleží do série Účetní materiál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 xml:space="preserve">série 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Zápůjčky a příspěvky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nenáleží do série Účetní materiál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Výpůjčky a dluhy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nenáleží do série Účetní materiál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Působnost korporace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Registraturní pomůcky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lze zařadit k této agendě, ale ne ke konkrétní podřízené jednotce popisu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Agendy řazené podle typu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hlavní skupiny spisového plánu, pokud je k dispozici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Ročníky věcných skupin, spisová pododdělení</w:t>
            </w: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Akce a projekty, které nelze zařadit do ročníku, věcné skupiny nebo spisového pododdělení</w:t>
            </w: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řazené podle typu nebo ročníkově; lze i kombinovat – významné akce seskupit a méně významné řadit ročníkově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Organizační složky korporace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pro svůj význam vyžadují vyčlenění; série a složky se vytvářejí stejně jako u správy korporace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Vznik organizační složky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Registraturní pomůcky organizační složky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lze zařadit k této agendě, ale ne ke konkrétní podřízené jednotce popisu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Správa organizační složky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Správa majetku a hospodaření organizační složky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Působnost organizační složky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Zánik organizační složky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bCs/>
                <w:sz w:val="20"/>
                <w:szCs w:val="20"/>
              </w:rPr>
              <w:t>Spisy tematicky nezařaditelné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bCs/>
                <w:sz w:val="20"/>
                <w:szCs w:val="20"/>
              </w:rPr>
              <w:t>Registraturní pomůcky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23213">
              <w:rPr>
                <w:rFonts w:ascii="Times New Roman" w:hAnsi="Times New Roman"/>
                <w:bCs/>
                <w:sz w:val="20"/>
                <w:szCs w:val="20"/>
              </w:rPr>
              <w:t>Pokud lze zařadit k této skupině, ale ne ke konkrétní podřízené jednotce popisu.</w:t>
            </w:r>
          </w:p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je dle úvahy zpracovatele vzhledem k rozsahu či jinému kritériu ze složek vhodné vytvořit série, je nutné totéž udělat pro všechny složky v dané sérii tak, aby nenastala situace, kdy složky (nebo jednotlivost) je na stejné úrovni jako série.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bCs/>
                <w:sz w:val="20"/>
                <w:szCs w:val="20"/>
              </w:rPr>
              <w:t>Agenda, zápisy a evidence tematicky nezařaditelné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23213">
              <w:rPr>
                <w:rFonts w:ascii="Times New Roman" w:hAnsi="Times New Roman"/>
                <w:bCs/>
                <w:sz w:val="20"/>
                <w:szCs w:val="20"/>
              </w:rPr>
              <w:t>Pokud nelze zařadit ke konkrétní agendě nebo jednotce popisu.</w:t>
            </w:r>
          </w:p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je dle úvahy zpracovatele vzhledem k rozsahu či jinému kritériu ze složek vhodné vytvořit série, je nutné totéž udělat pro všechny složky v dané sérii tak, aby nenastala situace, kdy složky (nebo jednotlivost) je na stejné úrovni jako série.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Ročníková manipulace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nelze rozdělit tematicky.</w:t>
            </w:r>
          </w:p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je dle úvahy zpracovatele vzhledem k rozsahu či jinému kritériu ze složek vhodné vytvořit série, je nutné totéž udělat pro všechny složky v dané sérii tak, aby nenastala situace, kdy složky (nebo jednotlivost) je na stejné úrovni jako série.</w:t>
            </w:r>
          </w:p>
        </w:tc>
      </w:tr>
      <w:tr w:rsidR="00523213" w:rsidRPr="00523213" w:rsidTr="00523213">
        <w:trPr>
          <w:cantSplit/>
        </w:trPr>
        <w:tc>
          <w:tcPr>
            <w:tcW w:w="1526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série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Zánik korporace</w:t>
            </w: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213" w:rsidRPr="00523213" w:rsidTr="00523213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Organizační záležitosti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Podněty k zániku a jeho příprava, dokumenty k procesu přičlenění k jiné korporaci, dokumenty k procesu ukončení registrace.</w:t>
            </w:r>
          </w:p>
          <w:p w:rsidR="00523213" w:rsidRPr="00523213" w:rsidRDefault="00523213" w:rsidP="00523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213">
              <w:rPr>
                <w:rFonts w:ascii="Times New Roman" w:hAnsi="Times New Roman"/>
                <w:sz w:val="20"/>
                <w:szCs w:val="20"/>
              </w:rPr>
              <w:t>Pokud je dle úvahy zpracovatele vzhledem k rozsahu či jinému kritériu ze složek vhodné vytvořit série, je nutné totéž udělat pro všechny složky v dané sérii tak, aby nenastala situace, kdy složky (nebo jednotlivost) je na stejné úrovni jako série.</w:t>
            </w:r>
          </w:p>
        </w:tc>
      </w:tr>
    </w:tbl>
    <w:p w:rsidR="008B6FD5" w:rsidRPr="00523213" w:rsidRDefault="008B6FD5" w:rsidP="005232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8B6FD5" w:rsidRPr="00523213" w:rsidSect="00523213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843" w:rsidRDefault="003B2843" w:rsidP="007B5A09">
      <w:pPr>
        <w:spacing w:after="0" w:line="240" w:lineRule="auto"/>
      </w:pPr>
      <w:r>
        <w:separator/>
      </w:r>
    </w:p>
  </w:endnote>
  <w:endnote w:type="continuationSeparator" w:id="0">
    <w:p w:rsidR="003B2843" w:rsidRDefault="003B2843" w:rsidP="007B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843" w:rsidRDefault="003B2843" w:rsidP="007B5A09">
      <w:pPr>
        <w:spacing w:after="0" w:line="240" w:lineRule="auto"/>
      </w:pPr>
      <w:r>
        <w:separator/>
      </w:r>
    </w:p>
  </w:footnote>
  <w:footnote w:type="continuationSeparator" w:id="0">
    <w:p w:rsidR="003B2843" w:rsidRDefault="003B2843" w:rsidP="007B5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3626"/>
    <w:rsid w:val="0001054D"/>
    <w:rsid w:val="000145FB"/>
    <w:rsid w:val="000220DF"/>
    <w:rsid w:val="00062A02"/>
    <w:rsid w:val="00087372"/>
    <w:rsid w:val="000A1B13"/>
    <w:rsid w:val="000B15BA"/>
    <w:rsid w:val="000D774E"/>
    <w:rsid w:val="000E6D99"/>
    <w:rsid w:val="0014098B"/>
    <w:rsid w:val="001A23E4"/>
    <w:rsid w:val="001A4A8F"/>
    <w:rsid w:val="001B1F76"/>
    <w:rsid w:val="001E3D96"/>
    <w:rsid w:val="001F250D"/>
    <w:rsid w:val="001F7211"/>
    <w:rsid w:val="00203C3F"/>
    <w:rsid w:val="00224995"/>
    <w:rsid w:val="00246A5E"/>
    <w:rsid w:val="002530C4"/>
    <w:rsid w:val="0027221D"/>
    <w:rsid w:val="00293B57"/>
    <w:rsid w:val="0030220C"/>
    <w:rsid w:val="003210FD"/>
    <w:rsid w:val="00327198"/>
    <w:rsid w:val="0033512C"/>
    <w:rsid w:val="00344596"/>
    <w:rsid w:val="00356840"/>
    <w:rsid w:val="00385E67"/>
    <w:rsid w:val="003A08BE"/>
    <w:rsid w:val="003B271C"/>
    <w:rsid w:val="003B2843"/>
    <w:rsid w:val="003D4C9B"/>
    <w:rsid w:val="0043644C"/>
    <w:rsid w:val="00453960"/>
    <w:rsid w:val="004D2EBA"/>
    <w:rsid w:val="004E4A15"/>
    <w:rsid w:val="00523213"/>
    <w:rsid w:val="00534312"/>
    <w:rsid w:val="00543626"/>
    <w:rsid w:val="00554385"/>
    <w:rsid w:val="005A12CE"/>
    <w:rsid w:val="005D6301"/>
    <w:rsid w:val="00622861"/>
    <w:rsid w:val="00622A2F"/>
    <w:rsid w:val="006B61B8"/>
    <w:rsid w:val="006D13C8"/>
    <w:rsid w:val="006E6C7F"/>
    <w:rsid w:val="006F0213"/>
    <w:rsid w:val="007160BA"/>
    <w:rsid w:val="0073597C"/>
    <w:rsid w:val="007601EB"/>
    <w:rsid w:val="00783A80"/>
    <w:rsid w:val="00784251"/>
    <w:rsid w:val="00793A93"/>
    <w:rsid w:val="007B5A09"/>
    <w:rsid w:val="007D71D1"/>
    <w:rsid w:val="007F6453"/>
    <w:rsid w:val="008311DB"/>
    <w:rsid w:val="00843617"/>
    <w:rsid w:val="008A1A29"/>
    <w:rsid w:val="008B6FD5"/>
    <w:rsid w:val="008D3CE2"/>
    <w:rsid w:val="00907C96"/>
    <w:rsid w:val="00907DB6"/>
    <w:rsid w:val="00913AFE"/>
    <w:rsid w:val="00924B68"/>
    <w:rsid w:val="00950300"/>
    <w:rsid w:val="00986441"/>
    <w:rsid w:val="00987C16"/>
    <w:rsid w:val="00A26379"/>
    <w:rsid w:val="00A817D9"/>
    <w:rsid w:val="00A96FF9"/>
    <w:rsid w:val="00AC6C5B"/>
    <w:rsid w:val="00AD2074"/>
    <w:rsid w:val="00B22A94"/>
    <w:rsid w:val="00B2529E"/>
    <w:rsid w:val="00B80BCC"/>
    <w:rsid w:val="00B838B3"/>
    <w:rsid w:val="00BA4445"/>
    <w:rsid w:val="00BB08BB"/>
    <w:rsid w:val="00BC37B7"/>
    <w:rsid w:val="00BD6EB2"/>
    <w:rsid w:val="00C27910"/>
    <w:rsid w:val="00C50E9C"/>
    <w:rsid w:val="00C52F2C"/>
    <w:rsid w:val="00C970E0"/>
    <w:rsid w:val="00CA3215"/>
    <w:rsid w:val="00CC3EB1"/>
    <w:rsid w:val="00CC7D2A"/>
    <w:rsid w:val="00D3095F"/>
    <w:rsid w:val="00D336F3"/>
    <w:rsid w:val="00D3490E"/>
    <w:rsid w:val="00D355D5"/>
    <w:rsid w:val="00D55DBF"/>
    <w:rsid w:val="00D67D4F"/>
    <w:rsid w:val="00D874E1"/>
    <w:rsid w:val="00DD321C"/>
    <w:rsid w:val="00DD425B"/>
    <w:rsid w:val="00E05398"/>
    <w:rsid w:val="00E134A8"/>
    <w:rsid w:val="00E40B59"/>
    <w:rsid w:val="00E753B2"/>
    <w:rsid w:val="00E83B7B"/>
    <w:rsid w:val="00EB6AC5"/>
    <w:rsid w:val="00ED5C5F"/>
    <w:rsid w:val="00EE432B"/>
    <w:rsid w:val="00F47166"/>
    <w:rsid w:val="00F542DD"/>
    <w:rsid w:val="00F6591D"/>
    <w:rsid w:val="00F77B36"/>
    <w:rsid w:val="00F84A15"/>
    <w:rsid w:val="00FC0B7D"/>
    <w:rsid w:val="00FD0963"/>
    <w:rsid w:val="00FE0C50"/>
    <w:rsid w:val="00FE0C69"/>
    <w:rsid w:val="00FE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4D5F"/>
  <w15:chartTrackingRefBased/>
  <w15:docId w15:val="{3D4F1F6E-9989-4CA5-8BA9-DF259D75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A0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B5A09"/>
    <w:rPr>
      <w:lang w:eastAsia="en-US"/>
    </w:rPr>
  </w:style>
  <w:style w:type="character" w:styleId="Znakapoznpodarou">
    <w:name w:val="footnote reference"/>
    <w:uiPriority w:val="99"/>
    <w:semiHidden/>
    <w:unhideWhenUsed/>
    <w:rsid w:val="007B5A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973E3-4D6E-4B1B-94C8-BB3ADDA3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1971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Ivo Šulc</dc:creator>
  <cp:keywords/>
  <cp:lastModifiedBy>Petr Pytelka</cp:lastModifiedBy>
  <cp:revision>4</cp:revision>
  <dcterms:created xsi:type="dcterms:W3CDTF">2017-11-29T00:41:00Z</dcterms:created>
  <dcterms:modified xsi:type="dcterms:W3CDTF">2017-11-29T00:45:00Z</dcterms:modified>
</cp:coreProperties>
</file>